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Spiritual Gifts Test: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http://elmertowns.com/?page_id=203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There are many varieties of spiritual gifts tests (and definitions). While this is the best test we found to use, it may not fully reflect our views.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Once you finish the test, there will be a place where you can send the results to yourself. Please send the results to your own email, and then you can forward the results to church@scefc.org if you are willing. You can also just email us and let us know what your top three gifts are!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elmertowns.com/?page_id=203" Type="http://schemas.openxmlformats.org/officeDocument/2006/relationships/hyperlink" TargetMode="External" Id="rId6"/><Relationship Target="http://elmertowns.com/?page_id=203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Gifts Test.docx</dc:title>
</cp:coreProperties>
</file>