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Attributes of God” by Arthur W. Pink</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Each chapter deals with a separate attribute of God, and can be read independently of other chapters.  The language is somewhat archaic, so it must be read slowly and savored like a fine steak (not a fast food burger).  The reader will come away with deeper appreciation of God, and a desire to know Him more (thirst). This </w:t>
      </w:r>
      <w:hyperlink r:id="rId5">
        <w:r w:rsidRPr="00000000" w:rsidR="00000000" w:rsidDel="00000000">
          <w:rPr>
            <w:rFonts w:cs="Times New Roman" w:hAnsi="Times New Roman" w:eastAsia="Times New Roman" w:ascii="Times New Roman"/>
            <w:color w:val="1155cc"/>
            <w:sz w:val="24"/>
            <w:u w:val="single"/>
            <w:rtl w:val="0"/>
          </w:rPr>
          <w:t xml:space="preserve">Link</w:t>
        </w:r>
      </w:hyperlink>
      <w:r w:rsidRPr="00000000" w:rsidR="00000000" w:rsidDel="00000000">
        <w:rPr>
          <w:rFonts w:cs="Times New Roman" w:hAnsi="Times New Roman" w:eastAsia="Times New Roman" w:ascii="Times New Roman"/>
          <w:sz w:val="24"/>
          <w:rtl w:val="0"/>
        </w:rPr>
        <w:t xml:space="preserve"> takes you to a website where the book is available to read online, and to download to a mobile reader.  Pink presents a grand and glorious review of God's attributes in a mere 92 pages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“Practicing His Presence” by Brother Lawrence.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This book is a collection of letters by a monk who lived in the sixteen hundreds and sought to come before God in everything he did.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Screwtape Letters” by C.S. LewisThis book is another collections of letters written by a demon Screwtape to another demon who he is mentoring, Wormwood. It is a more humorous look at the methods that the devil uses to distract us from thirsting from God.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“Crazy Love” by Francis Chan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This book is about recognizing the crazy love with which our father loves us and allowing that love to create a response in how we live our lives.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“Christ's Glorious Achievements” by Charles Spurgeon.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This book speaks beautifully about our Savior and the wonderful works he has done. To know Him better is to thirst for Him more.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"Behold Your God" by Myna Alexander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An excellent resource in learning about the character of God.  How can one trust what one doesn't know? This study helps you get to know the God we serve by his own proclamations about himself.</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Pleasures of God" by John Piper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Piper himself says, "We will be most satisfied in God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when we know why God himself is most satisfied in God.  Therefore this is a</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book about the unimaginably good news that God delights fully in being God."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"God Came Near" by Max Lucado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Max says, "...God desires more for you than a second-hand faith.  He wants you to see him 'for yourself'.  To be touched by his glory.  To witness his majesty.  To know him as friend. THAT'S WHY GOD CAME NEAR. TO BE SEEN."  Further he says, "...once you have caught a glimpse of his majesty, you will never be the same again."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pbministries.org/books/pink/Attributes/index.htm"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Books.docx</dc:title>
</cp:coreProperties>
</file>